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1E923" w14:textId="6BA25C9A" w:rsidR="003F7E4E" w:rsidRPr="00124C24" w:rsidRDefault="003F7E4E" w:rsidP="00C8449D">
      <w:pPr>
        <w:pStyle w:val="ac"/>
        <w:spacing w:before="0" w:beforeAutospacing="0" w:after="0" w:afterAutospacing="0"/>
        <w:ind w:firstLine="567"/>
        <w:jc w:val="center"/>
        <w:rPr>
          <w:rStyle w:val="ad"/>
          <w:rFonts w:eastAsiaTheme="majorEastAsia"/>
          <w:b w:val="0"/>
          <w:bCs w:val="0"/>
          <w:lang w:val="en-US"/>
        </w:rPr>
      </w:pPr>
      <w:r w:rsidRPr="003F7E4E">
        <w:rPr>
          <w:rStyle w:val="ad"/>
          <w:rFonts w:eastAsiaTheme="majorEastAsia"/>
          <w:b w:val="0"/>
          <w:bCs w:val="0"/>
          <w:lang w:val="en-US"/>
        </w:rPr>
        <w:t xml:space="preserve">Faculty of Law of the Karaganda University named after Academician E.A. </w:t>
      </w:r>
      <w:proofErr w:type="spellStart"/>
      <w:r w:rsidRPr="003F7E4E">
        <w:rPr>
          <w:rStyle w:val="ad"/>
          <w:rFonts w:eastAsiaTheme="majorEastAsia"/>
          <w:b w:val="0"/>
          <w:bCs w:val="0"/>
          <w:lang w:val="en-US"/>
        </w:rPr>
        <w:t>Buketov</w:t>
      </w:r>
      <w:proofErr w:type="spellEnd"/>
    </w:p>
    <w:p w14:paraId="56FEFE61" w14:textId="77777777" w:rsidR="003F7E4E" w:rsidRPr="00124C24" w:rsidRDefault="003F7E4E" w:rsidP="003F7E4E">
      <w:pPr>
        <w:pStyle w:val="ac"/>
        <w:spacing w:before="0" w:beforeAutospacing="0" w:after="0" w:afterAutospacing="0"/>
        <w:ind w:firstLine="567"/>
        <w:jc w:val="both"/>
        <w:rPr>
          <w:rStyle w:val="ad"/>
          <w:rFonts w:eastAsiaTheme="majorEastAsia"/>
          <w:b w:val="0"/>
          <w:bCs w:val="0"/>
          <w:lang w:val="en-US"/>
        </w:rPr>
      </w:pPr>
    </w:p>
    <w:p w14:paraId="0EFAD809" w14:textId="0F199387" w:rsidR="003F7E4E" w:rsidRPr="003F7E4E" w:rsidRDefault="003F7E4E" w:rsidP="003F7E4E">
      <w:pPr>
        <w:pStyle w:val="ac"/>
        <w:spacing w:before="0" w:beforeAutospacing="0" w:after="0" w:afterAutospacing="0"/>
        <w:ind w:firstLine="567"/>
        <w:jc w:val="both"/>
        <w:rPr>
          <w:lang w:val="en-US"/>
        </w:rPr>
      </w:pPr>
      <w:r w:rsidRPr="003F7E4E">
        <w:rPr>
          <w:rStyle w:val="ad"/>
          <w:rFonts w:eastAsiaTheme="majorEastAsia"/>
          <w:b w:val="0"/>
          <w:bCs w:val="0"/>
          <w:lang w:val="en-US"/>
        </w:rPr>
        <w:t>invites you to participate in the international scientific and practical conference</w:t>
      </w:r>
      <w:r w:rsidRPr="003F7E4E">
        <w:rPr>
          <w:lang w:val="en-US"/>
        </w:rPr>
        <w:br/>
        <w:t xml:space="preserve">on the topic: </w:t>
      </w:r>
      <w:r w:rsidRPr="003F7E4E">
        <w:rPr>
          <w:rStyle w:val="ad"/>
          <w:rFonts w:eastAsiaTheme="majorEastAsia"/>
          <w:lang w:val="en-US"/>
        </w:rPr>
        <w:t>«Legal Regulation of Municipal Solid Waste Management in the Context of Achieving the Sustainable Development Goals: Challenges and Prospects»</w:t>
      </w:r>
      <w:r w:rsidRPr="003F7E4E">
        <w:rPr>
          <w:lang w:val="en-US"/>
        </w:rPr>
        <w:t>,</w:t>
      </w:r>
      <w:r w:rsidRPr="003F7E4E">
        <w:rPr>
          <w:lang w:val="en-US"/>
        </w:rPr>
        <w:br/>
        <w:t xml:space="preserve">which will be held on </w:t>
      </w:r>
      <w:r w:rsidR="00C8449D" w:rsidRPr="00C8449D">
        <w:rPr>
          <w:b/>
          <w:bCs/>
          <w:lang w:val="en-US"/>
        </w:rPr>
        <w:t xml:space="preserve">25 </w:t>
      </w:r>
      <w:r w:rsidRPr="003F7E4E">
        <w:rPr>
          <w:rStyle w:val="ad"/>
          <w:rFonts w:eastAsiaTheme="majorEastAsia"/>
          <w:lang w:val="en-US"/>
        </w:rPr>
        <w:t>September 2025</w:t>
      </w:r>
      <w:r w:rsidRPr="003F7E4E">
        <w:rPr>
          <w:lang w:val="en-US"/>
        </w:rPr>
        <w:t xml:space="preserve">, at the Faculty of Law of the Karaganda University named after Academician E.A. </w:t>
      </w:r>
      <w:proofErr w:type="spellStart"/>
      <w:r w:rsidRPr="003F7E4E">
        <w:rPr>
          <w:lang w:val="en-US"/>
        </w:rPr>
        <w:t>Buketov</w:t>
      </w:r>
      <w:proofErr w:type="spellEnd"/>
      <w:r w:rsidRPr="003F7E4E">
        <w:rPr>
          <w:lang w:val="en-US"/>
        </w:rPr>
        <w:t xml:space="preserve"> (Karaganda, Republic of Kazakhstan).</w:t>
      </w:r>
    </w:p>
    <w:p w14:paraId="483E95D4" w14:textId="77777777" w:rsidR="003F7E4E" w:rsidRPr="003F7E4E" w:rsidRDefault="003F7E4E" w:rsidP="003F7E4E">
      <w:pPr>
        <w:pStyle w:val="ac"/>
        <w:spacing w:before="0" w:beforeAutospacing="0" w:after="0" w:afterAutospacing="0"/>
        <w:ind w:firstLine="567"/>
        <w:jc w:val="both"/>
        <w:rPr>
          <w:lang w:val="en-US"/>
        </w:rPr>
      </w:pPr>
      <w:r w:rsidRPr="003F7E4E">
        <w:rPr>
          <w:rStyle w:val="ad"/>
          <w:rFonts w:eastAsiaTheme="majorEastAsia"/>
          <w:lang w:val="en-US"/>
        </w:rPr>
        <w:t>The aim of the conference</w:t>
      </w:r>
      <w:r w:rsidRPr="003F7E4E">
        <w:rPr>
          <w:lang w:val="en-US"/>
        </w:rPr>
        <w:t xml:space="preserve"> is a comprehensive discussion of legal issues related to municipal solid waste management within the framework of implementing the Sustainable Development Goals, as well as the search for effective legal, institutional, and economic mechanisms that promote an environmentally responsible and sustainable approach to waste management at both national and international levels.</w:t>
      </w:r>
    </w:p>
    <w:p w14:paraId="2406C793" w14:textId="77777777" w:rsidR="003F7E4E" w:rsidRDefault="003F7E4E" w:rsidP="003F7E4E">
      <w:pPr>
        <w:pStyle w:val="ac"/>
        <w:spacing w:before="0" w:beforeAutospacing="0" w:after="0" w:afterAutospacing="0"/>
        <w:ind w:firstLine="567"/>
        <w:jc w:val="both"/>
      </w:pPr>
      <w:r>
        <w:rPr>
          <w:rStyle w:val="ad"/>
          <w:rFonts w:eastAsiaTheme="majorEastAsia"/>
        </w:rPr>
        <w:t>Conference objectives:</w:t>
      </w:r>
    </w:p>
    <w:p w14:paraId="332318E9" w14:textId="77777777" w:rsidR="003F7E4E" w:rsidRPr="003F7E4E" w:rsidRDefault="003F7E4E" w:rsidP="00124C24">
      <w:pPr>
        <w:pStyle w:val="ac"/>
        <w:numPr>
          <w:ilvl w:val="0"/>
          <w:numId w:val="1"/>
        </w:numPr>
        <w:tabs>
          <w:tab w:val="clear" w:pos="720"/>
          <w:tab w:val="num" w:pos="1134"/>
        </w:tabs>
        <w:spacing w:before="0" w:beforeAutospacing="0" w:after="0" w:afterAutospacing="0"/>
        <w:ind w:left="0" w:firstLine="567"/>
        <w:jc w:val="both"/>
        <w:rPr>
          <w:lang w:val="en-US"/>
        </w:rPr>
      </w:pPr>
      <w:r w:rsidRPr="003F7E4E">
        <w:rPr>
          <w:lang w:val="en-US"/>
        </w:rPr>
        <w:t>To analyze current constitutional, civil, criminal, environmental, tax, and international legal aspects of municipal solid waste regulation;</w:t>
      </w:r>
    </w:p>
    <w:p w14:paraId="647F798F" w14:textId="77777777" w:rsidR="003F7E4E" w:rsidRPr="003F7E4E" w:rsidRDefault="003F7E4E" w:rsidP="00124C24">
      <w:pPr>
        <w:pStyle w:val="ac"/>
        <w:numPr>
          <w:ilvl w:val="0"/>
          <w:numId w:val="1"/>
        </w:numPr>
        <w:tabs>
          <w:tab w:val="clear" w:pos="720"/>
          <w:tab w:val="num" w:pos="1134"/>
        </w:tabs>
        <w:spacing w:before="0" w:beforeAutospacing="0" w:after="0" w:afterAutospacing="0"/>
        <w:ind w:left="0" w:firstLine="567"/>
        <w:jc w:val="both"/>
        <w:rPr>
          <w:lang w:val="en-US"/>
        </w:rPr>
      </w:pPr>
      <w:r w:rsidRPr="003F7E4E">
        <w:rPr>
          <w:lang w:val="en-US"/>
        </w:rPr>
        <w:t>To identify current challenges arising in the process of implementing the Sustainable Development Goals in the field of waste management;</w:t>
      </w:r>
    </w:p>
    <w:p w14:paraId="096757C4" w14:textId="77777777" w:rsidR="003F7E4E" w:rsidRPr="003F7E4E" w:rsidRDefault="003F7E4E" w:rsidP="00124C24">
      <w:pPr>
        <w:pStyle w:val="ac"/>
        <w:numPr>
          <w:ilvl w:val="0"/>
          <w:numId w:val="1"/>
        </w:numPr>
        <w:tabs>
          <w:tab w:val="clear" w:pos="720"/>
          <w:tab w:val="num" w:pos="1134"/>
        </w:tabs>
        <w:spacing w:before="0" w:beforeAutospacing="0" w:after="0" w:afterAutospacing="0"/>
        <w:ind w:left="0" w:firstLine="567"/>
        <w:jc w:val="both"/>
        <w:rPr>
          <w:lang w:val="en-US"/>
        </w:rPr>
      </w:pPr>
      <w:r w:rsidRPr="003F7E4E">
        <w:rPr>
          <w:lang w:val="en-US"/>
        </w:rPr>
        <w:t>To discuss the practice of applying existing legislation, and to identify gaps and contradictions in legal regulation;</w:t>
      </w:r>
    </w:p>
    <w:p w14:paraId="5C9EB47F" w14:textId="77777777" w:rsidR="003F7E4E" w:rsidRPr="003F7E4E" w:rsidRDefault="003F7E4E" w:rsidP="00124C24">
      <w:pPr>
        <w:pStyle w:val="ac"/>
        <w:numPr>
          <w:ilvl w:val="0"/>
          <w:numId w:val="1"/>
        </w:numPr>
        <w:tabs>
          <w:tab w:val="clear" w:pos="720"/>
          <w:tab w:val="num" w:pos="1134"/>
        </w:tabs>
        <w:spacing w:before="0" w:beforeAutospacing="0" w:after="0" w:afterAutospacing="0"/>
        <w:ind w:left="0" w:firstLine="567"/>
        <w:jc w:val="both"/>
        <w:rPr>
          <w:lang w:val="en-US"/>
        </w:rPr>
      </w:pPr>
      <w:r w:rsidRPr="003F7E4E">
        <w:rPr>
          <w:lang w:val="en-US"/>
        </w:rPr>
        <w:t>To explore the role of government agencies, the private sector, non-governmental organizations, and civil society in ensuring effective and sustainable waste management;</w:t>
      </w:r>
    </w:p>
    <w:p w14:paraId="4F7F521D" w14:textId="77777777" w:rsidR="003F7E4E" w:rsidRPr="003F7E4E" w:rsidRDefault="003F7E4E" w:rsidP="00124C24">
      <w:pPr>
        <w:pStyle w:val="ac"/>
        <w:numPr>
          <w:ilvl w:val="0"/>
          <w:numId w:val="1"/>
        </w:numPr>
        <w:tabs>
          <w:tab w:val="clear" w:pos="720"/>
          <w:tab w:val="num" w:pos="1134"/>
        </w:tabs>
        <w:spacing w:before="0" w:beforeAutospacing="0" w:after="0" w:afterAutospacing="0"/>
        <w:ind w:left="0" w:firstLine="567"/>
        <w:jc w:val="both"/>
        <w:rPr>
          <w:lang w:val="en-US"/>
        </w:rPr>
      </w:pPr>
      <w:r w:rsidRPr="003F7E4E">
        <w:rPr>
          <w:lang w:val="en-US"/>
        </w:rPr>
        <w:t>To promote the development of scientific and expert dialogue on legal support for environmental policy and eco-technologies;</w:t>
      </w:r>
    </w:p>
    <w:p w14:paraId="627E048A" w14:textId="77777777" w:rsidR="003F7E4E" w:rsidRPr="003F7E4E" w:rsidRDefault="003F7E4E" w:rsidP="00124C24">
      <w:pPr>
        <w:pStyle w:val="ac"/>
        <w:numPr>
          <w:ilvl w:val="0"/>
          <w:numId w:val="1"/>
        </w:numPr>
        <w:tabs>
          <w:tab w:val="clear" w:pos="720"/>
          <w:tab w:val="num" w:pos="1134"/>
        </w:tabs>
        <w:spacing w:before="0" w:beforeAutospacing="0" w:after="0" w:afterAutospacing="0"/>
        <w:ind w:left="0" w:firstLine="567"/>
        <w:jc w:val="both"/>
        <w:rPr>
          <w:lang w:val="en-US"/>
        </w:rPr>
      </w:pPr>
      <w:r w:rsidRPr="003F7E4E">
        <w:rPr>
          <w:lang w:val="en-US"/>
        </w:rPr>
        <w:t>To present and discuss advanced international and national practices in the field of waste management;</w:t>
      </w:r>
    </w:p>
    <w:p w14:paraId="17811274" w14:textId="77777777" w:rsidR="003F7E4E" w:rsidRPr="003F7E4E" w:rsidRDefault="003F7E4E" w:rsidP="00124C24">
      <w:pPr>
        <w:pStyle w:val="ac"/>
        <w:numPr>
          <w:ilvl w:val="0"/>
          <w:numId w:val="1"/>
        </w:numPr>
        <w:tabs>
          <w:tab w:val="clear" w:pos="720"/>
          <w:tab w:val="num" w:pos="1134"/>
        </w:tabs>
        <w:spacing w:before="0" w:beforeAutospacing="0" w:after="0" w:afterAutospacing="0"/>
        <w:ind w:left="0" w:firstLine="567"/>
        <w:jc w:val="both"/>
        <w:rPr>
          <w:lang w:val="en-US"/>
        </w:rPr>
      </w:pPr>
      <w:r w:rsidRPr="003F7E4E">
        <w:rPr>
          <w:lang w:val="en-US"/>
        </w:rPr>
        <w:t>To develop recommendations for improving legislation and law enforcement practices in accordance with the principles of sustainable development and international standards.</w:t>
      </w:r>
    </w:p>
    <w:p w14:paraId="22248344" w14:textId="77777777" w:rsidR="003F7E4E" w:rsidRPr="003F7E4E" w:rsidRDefault="003F7E4E" w:rsidP="003F7E4E">
      <w:pPr>
        <w:spacing w:after="0" w:line="240" w:lineRule="auto"/>
        <w:ind w:firstLine="567"/>
        <w:jc w:val="both"/>
        <w:rPr>
          <w:rFonts w:ascii="Times New Roman" w:hAnsi="Times New Roman" w:cs="Times New Roman"/>
          <w:lang w:val="en-US"/>
        </w:rPr>
      </w:pPr>
      <w:r w:rsidRPr="003F7E4E">
        <w:rPr>
          <w:rFonts w:ascii="Times New Roman" w:hAnsi="Times New Roman" w:cs="Times New Roman"/>
          <w:lang w:val="en-US"/>
        </w:rPr>
        <w:t>Conference Tracks:</w:t>
      </w:r>
    </w:p>
    <w:p w14:paraId="6DCC96FA" w14:textId="77777777" w:rsidR="003F7E4E" w:rsidRPr="003F7E4E" w:rsidRDefault="003F7E4E" w:rsidP="003F7E4E">
      <w:pPr>
        <w:spacing w:after="0" w:line="240" w:lineRule="auto"/>
        <w:ind w:firstLine="567"/>
        <w:jc w:val="both"/>
        <w:rPr>
          <w:rFonts w:ascii="Times New Roman" w:hAnsi="Times New Roman" w:cs="Times New Roman"/>
          <w:lang w:val="en-US"/>
        </w:rPr>
      </w:pPr>
      <w:r w:rsidRPr="003F7E4E">
        <w:rPr>
          <w:rFonts w:ascii="Times New Roman" w:hAnsi="Times New Roman" w:cs="Times New Roman"/>
          <w:lang w:val="en-US"/>
        </w:rPr>
        <w:t>I. Constitutional and Legal Aspects</w:t>
      </w:r>
    </w:p>
    <w:p w14:paraId="5CC8D567" w14:textId="77777777" w:rsidR="003F7E4E" w:rsidRPr="003F7E4E" w:rsidRDefault="003F7E4E" w:rsidP="003F7E4E">
      <w:pPr>
        <w:numPr>
          <w:ilvl w:val="0"/>
          <w:numId w:val="2"/>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Environmental rights of citizens and the right to a favorable environment.</w:t>
      </w:r>
    </w:p>
    <w:p w14:paraId="1FAFAF81" w14:textId="77777777" w:rsidR="003F7E4E" w:rsidRPr="003F7E4E" w:rsidRDefault="003F7E4E" w:rsidP="003F7E4E">
      <w:pPr>
        <w:numPr>
          <w:ilvl w:val="0"/>
          <w:numId w:val="2"/>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Sustainable development as a foundation of state waste policy.</w:t>
      </w:r>
    </w:p>
    <w:p w14:paraId="31ECAE99" w14:textId="77777777" w:rsidR="003F7E4E" w:rsidRPr="003F7E4E" w:rsidRDefault="003F7E4E" w:rsidP="003F7E4E">
      <w:pPr>
        <w:numPr>
          <w:ilvl w:val="0"/>
          <w:numId w:val="2"/>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Access to environmental information and judicial protection of rights.</w:t>
      </w:r>
    </w:p>
    <w:p w14:paraId="5FF2E90A" w14:textId="77777777" w:rsidR="003F7E4E" w:rsidRPr="003F7E4E" w:rsidRDefault="003F7E4E" w:rsidP="003F7E4E">
      <w:pPr>
        <w:numPr>
          <w:ilvl w:val="0"/>
          <w:numId w:val="2"/>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Powers of public authorities and the role of the Constitutional Court.</w:t>
      </w:r>
    </w:p>
    <w:p w14:paraId="04E30D16" w14:textId="77777777" w:rsidR="003F7E4E" w:rsidRPr="003F7E4E" w:rsidRDefault="003F7E4E" w:rsidP="003F7E4E">
      <w:pPr>
        <w:numPr>
          <w:ilvl w:val="0"/>
          <w:numId w:val="2"/>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Balancing ecology and economy in legislation.</w:t>
      </w:r>
    </w:p>
    <w:p w14:paraId="1579C06A" w14:textId="77777777" w:rsidR="003F7E4E" w:rsidRPr="003F7E4E" w:rsidRDefault="003F7E4E" w:rsidP="003F7E4E">
      <w:pPr>
        <w:numPr>
          <w:ilvl w:val="0"/>
          <w:numId w:val="2"/>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Impact of international obligations and constitutional oversight.</w:t>
      </w:r>
    </w:p>
    <w:p w14:paraId="7AD7578E" w14:textId="77777777" w:rsidR="003F7E4E" w:rsidRPr="003F7E4E" w:rsidRDefault="003F7E4E" w:rsidP="003F7E4E">
      <w:pPr>
        <w:spacing w:after="0" w:line="240" w:lineRule="auto"/>
        <w:ind w:firstLine="567"/>
        <w:jc w:val="both"/>
        <w:rPr>
          <w:rFonts w:ascii="Times New Roman" w:hAnsi="Times New Roman" w:cs="Times New Roman"/>
        </w:rPr>
      </w:pPr>
      <w:r w:rsidRPr="003F7E4E">
        <w:rPr>
          <w:rFonts w:ascii="Times New Roman" w:hAnsi="Times New Roman" w:cs="Times New Roman"/>
        </w:rPr>
        <w:t xml:space="preserve">II. </w:t>
      </w:r>
      <w:proofErr w:type="spellStart"/>
      <w:r w:rsidRPr="003F7E4E">
        <w:rPr>
          <w:rFonts w:ascii="Times New Roman" w:hAnsi="Times New Roman" w:cs="Times New Roman"/>
        </w:rPr>
        <w:t>Civil</w:t>
      </w:r>
      <w:proofErr w:type="spellEnd"/>
      <w:r w:rsidRPr="003F7E4E">
        <w:rPr>
          <w:rFonts w:ascii="Times New Roman" w:hAnsi="Times New Roman" w:cs="Times New Roman"/>
        </w:rPr>
        <w:t xml:space="preserve"> </w:t>
      </w:r>
      <w:proofErr w:type="spellStart"/>
      <w:r w:rsidRPr="003F7E4E">
        <w:rPr>
          <w:rFonts w:ascii="Times New Roman" w:hAnsi="Times New Roman" w:cs="Times New Roman"/>
        </w:rPr>
        <w:t>Law</w:t>
      </w:r>
      <w:proofErr w:type="spellEnd"/>
      <w:r w:rsidRPr="003F7E4E">
        <w:rPr>
          <w:rFonts w:ascii="Times New Roman" w:hAnsi="Times New Roman" w:cs="Times New Roman"/>
        </w:rPr>
        <w:t xml:space="preserve"> </w:t>
      </w:r>
      <w:proofErr w:type="spellStart"/>
      <w:r w:rsidRPr="003F7E4E">
        <w:rPr>
          <w:rFonts w:ascii="Times New Roman" w:hAnsi="Times New Roman" w:cs="Times New Roman"/>
        </w:rPr>
        <w:t>Aspects</w:t>
      </w:r>
      <w:proofErr w:type="spellEnd"/>
    </w:p>
    <w:p w14:paraId="3246D381" w14:textId="77777777" w:rsidR="003F7E4E" w:rsidRPr="003F7E4E" w:rsidRDefault="003F7E4E" w:rsidP="003F7E4E">
      <w:pPr>
        <w:numPr>
          <w:ilvl w:val="0"/>
          <w:numId w:val="3"/>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Contracts and obligations in municipal solid waste management.</w:t>
      </w:r>
    </w:p>
    <w:p w14:paraId="622CCB83" w14:textId="77777777" w:rsidR="003F7E4E" w:rsidRPr="003F7E4E" w:rsidRDefault="003F7E4E" w:rsidP="003F7E4E">
      <w:pPr>
        <w:numPr>
          <w:ilvl w:val="0"/>
          <w:numId w:val="3"/>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Liability and protection of the parties' interests.</w:t>
      </w:r>
    </w:p>
    <w:p w14:paraId="6B883DA6" w14:textId="77777777" w:rsidR="003F7E4E" w:rsidRPr="003F7E4E" w:rsidRDefault="003F7E4E" w:rsidP="003F7E4E">
      <w:pPr>
        <w:numPr>
          <w:ilvl w:val="0"/>
          <w:numId w:val="3"/>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Legal status of waste as objects of civil rights.</w:t>
      </w:r>
    </w:p>
    <w:p w14:paraId="64B1FA12" w14:textId="77777777" w:rsidR="003F7E4E" w:rsidRPr="003F7E4E" w:rsidRDefault="003F7E4E" w:rsidP="003F7E4E">
      <w:pPr>
        <w:numPr>
          <w:ilvl w:val="0"/>
          <w:numId w:val="3"/>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Public utilities, damage compensation, and private sector involvement.</w:t>
      </w:r>
    </w:p>
    <w:p w14:paraId="1AD36C9E" w14:textId="77777777" w:rsidR="003F7E4E" w:rsidRPr="003F7E4E" w:rsidRDefault="003F7E4E" w:rsidP="003F7E4E">
      <w:pPr>
        <w:numPr>
          <w:ilvl w:val="0"/>
          <w:numId w:val="3"/>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Small businesses, investment, and environmental risk insurance.</w:t>
      </w:r>
    </w:p>
    <w:p w14:paraId="3BFAA857" w14:textId="77777777" w:rsidR="003F7E4E" w:rsidRPr="003F7E4E" w:rsidRDefault="003F7E4E" w:rsidP="003F7E4E">
      <w:pPr>
        <w:spacing w:after="0" w:line="240" w:lineRule="auto"/>
        <w:ind w:firstLine="567"/>
        <w:jc w:val="both"/>
        <w:rPr>
          <w:rFonts w:ascii="Times New Roman" w:hAnsi="Times New Roman" w:cs="Times New Roman"/>
        </w:rPr>
      </w:pPr>
      <w:r w:rsidRPr="003F7E4E">
        <w:rPr>
          <w:rFonts w:ascii="Times New Roman" w:hAnsi="Times New Roman" w:cs="Times New Roman"/>
        </w:rPr>
        <w:t xml:space="preserve">III. </w:t>
      </w:r>
      <w:proofErr w:type="spellStart"/>
      <w:r w:rsidRPr="003F7E4E">
        <w:rPr>
          <w:rFonts w:ascii="Times New Roman" w:hAnsi="Times New Roman" w:cs="Times New Roman"/>
        </w:rPr>
        <w:t>Criminal</w:t>
      </w:r>
      <w:proofErr w:type="spellEnd"/>
      <w:r w:rsidRPr="003F7E4E">
        <w:rPr>
          <w:rFonts w:ascii="Times New Roman" w:hAnsi="Times New Roman" w:cs="Times New Roman"/>
        </w:rPr>
        <w:t xml:space="preserve"> </w:t>
      </w:r>
      <w:proofErr w:type="spellStart"/>
      <w:r w:rsidRPr="003F7E4E">
        <w:rPr>
          <w:rFonts w:ascii="Times New Roman" w:hAnsi="Times New Roman" w:cs="Times New Roman"/>
        </w:rPr>
        <w:t>Law</w:t>
      </w:r>
      <w:proofErr w:type="spellEnd"/>
      <w:r w:rsidRPr="003F7E4E">
        <w:rPr>
          <w:rFonts w:ascii="Times New Roman" w:hAnsi="Times New Roman" w:cs="Times New Roman"/>
        </w:rPr>
        <w:t xml:space="preserve"> </w:t>
      </w:r>
      <w:proofErr w:type="spellStart"/>
      <w:r w:rsidRPr="003F7E4E">
        <w:rPr>
          <w:rFonts w:ascii="Times New Roman" w:hAnsi="Times New Roman" w:cs="Times New Roman"/>
        </w:rPr>
        <w:t>Aspects</w:t>
      </w:r>
      <w:proofErr w:type="spellEnd"/>
    </w:p>
    <w:p w14:paraId="1A18DB43" w14:textId="77777777" w:rsidR="003F7E4E" w:rsidRPr="003F7E4E" w:rsidRDefault="003F7E4E" w:rsidP="003F7E4E">
      <w:pPr>
        <w:numPr>
          <w:ilvl w:val="0"/>
          <w:numId w:val="4"/>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Criminal liability for environmental offenses.</w:t>
      </w:r>
    </w:p>
    <w:p w14:paraId="46A06205" w14:textId="77777777" w:rsidR="003F7E4E" w:rsidRPr="003F7E4E" w:rsidRDefault="003F7E4E" w:rsidP="003F7E4E">
      <w:pPr>
        <w:numPr>
          <w:ilvl w:val="0"/>
          <w:numId w:val="4"/>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Qualification, investigation, and judicial consideration of cases.</w:t>
      </w:r>
    </w:p>
    <w:p w14:paraId="11DD3B00" w14:textId="77777777" w:rsidR="003F7E4E" w:rsidRPr="003F7E4E" w:rsidRDefault="003F7E4E" w:rsidP="003F7E4E">
      <w:pPr>
        <w:numPr>
          <w:ilvl w:val="0"/>
          <w:numId w:val="4"/>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Transboundary crimes and liability of legal entities.</w:t>
      </w:r>
    </w:p>
    <w:p w14:paraId="6F2D3907" w14:textId="77777777" w:rsidR="003F7E4E" w:rsidRPr="003F7E4E" w:rsidRDefault="003F7E4E" w:rsidP="003F7E4E">
      <w:pPr>
        <w:numPr>
          <w:ilvl w:val="0"/>
          <w:numId w:val="4"/>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Preventive role of criminal law and interagency cooperation.</w:t>
      </w:r>
    </w:p>
    <w:p w14:paraId="34F1AD11" w14:textId="77777777" w:rsidR="003F7E4E" w:rsidRPr="003F7E4E" w:rsidRDefault="003F7E4E" w:rsidP="003F7E4E">
      <w:pPr>
        <w:numPr>
          <w:ilvl w:val="0"/>
          <w:numId w:val="4"/>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Influence of international law on national criminal regulation.</w:t>
      </w:r>
    </w:p>
    <w:p w14:paraId="368931D4" w14:textId="77777777" w:rsidR="003F7E4E" w:rsidRPr="003F7E4E" w:rsidRDefault="003F7E4E" w:rsidP="003F7E4E">
      <w:pPr>
        <w:spacing w:after="0" w:line="240" w:lineRule="auto"/>
        <w:ind w:firstLine="567"/>
        <w:jc w:val="both"/>
        <w:rPr>
          <w:rFonts w:ascii="Times New Roman" w:hAnsi="Times New Roman" w:cs="Times New Roman"/>
        </w:rPr>
      </w:pPr>
      <w:r w:rsidRPr="003F7E4E">
        <w:rPr>
          <w:rFonts w:ascii="Times New Roman" w:hAnsi="Times New Roman" w:cs="Times New Roman"/>
        </w:rPr>
        <w:t xml:space="preserve">IV. </w:t>
      </w:r>
      <w:proofErr w:type="spellStart"/>
      <w:r w:rsidRPr="003F7E4E">
        <w:rPr>
          <w:rFonts w:ascii="Times New Roman" w:hAnsi="Times New Roman" w:cs="Times New Roman"/>
        </w:rPr>
        <w:t>Environmental</w:t>
      </w:r>
      <w:proofErr w:type="spellEnd"/>
      <w:r w:rsidRPr="003F7E4E">
        <w:rPr>
          <w:rFonts w:ascii="Times New Roman" w:hAnsi="Times New Roman" w:cs="Times New Roman"/>
        </w:rPr>
        <w:t xml:space="preserve"> </w:t>
      </w:r>
      <w:proofErr w:type="spellStart"/>
      <w:r w:rsidRPr="003F7E4E">
        <w:rPr>
          <w:rFonts w:ascii="Times New Roman" w:hAnsi="Times New Roman" w:cs="Times New Roman"/>
        </w:rPr>
        <w:t>Law</w:t>
      </w:r>
      <w:proofErr w:type="spellEnd"/>
    </w:p>
    <w:p w14:paraId="484964E3" w14:textId="77777777" w:rsidR="003F7E4E" w:rsidRPr="003F7E4E" w:rsidRDefault="003F7E4E" w:rsidP="003F7E4E">
      <w:pPr>
        <w:numPr>
          <w:ilvl w:val="0"/>
          <w:numId w:val="5"/>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Evolution of legislation and norms on municipal solid waste.</w:t>
      </w:r>
    </w:p>
    <w:p w14:paraId="42B02E42" w14:textId="77777777" w:rsidR="003F7E4E" w:rsidRPr="003F7E4E" w:rsidRDefault="003F7E4E" w:rsidP="003F7E4E">
      <w:pPr>
        <w:numPr>
          <w:ilvl w:val="0"/>
          <w:numId w:val="5"/>
        </w:numPr>
        <w:tabs>
          <w:tab w:val="clear" w:pos="720"/>
          <w:tab w:val="num" w:pos="1134"/>
        </w:tabs>
        <w:spacing w:after="0" w:line="240" w:lineRule="auto"/>
        <w:ind w:left="0" w:firstLine="567"/>
        <w:jc w:val="both"/>
        <w:rPr>
          <w:rFonts w:ascii="Times New Roman" w:hAnsi="Times New Roman" w:cs="Times New Roman"/>
        </w:rPr>
      </w:pPr>
      <w:proofErr w:type="spellStart"/>
      <w:r w:rsidRPr="003F7E4E">
        <w:rPr>
          <w:rFonts w:ascii="Times New Roman" w:hAnsi="Times New Roman" w:cs="Times New Roman"/>
        </w:rPr>
        <w:t>Extended</w:t>
      </w:r>
      <w:proofErr w:type="spellEnd"/>
      <w:r w:rsidRPr="003F7E4E">
        <w:rPr>
          <w:rFonts w:ascii="Times New Roman" w:hAnsi="Times New Roman" w:cs="Times New Roman"/>
        </w:rPr>
        <w:t xml:space="preserve"> </w:t>
      </w:r>
      <w:proofErr w:type="spellStart"/>
      <w:r w:rsidRPr="003F7E4E">
        <w:rPr>
          <w:rFonts w:ascii="Times New Roman" w:hAnsi="Times New Roman" w:cs="Times New Roman"/>
        </w:rPr>
        <w:t>producer</w:t>
      </w:r>
      <w:proofErr w:type="spellEnd"/>
      <w:r w:rsidRPr="003F7E4E">
        <w:rPr>
          <w:rFonts w:ascii="Times New Roman" w:hAnsi="Times New Roman" w:cs="Times New Roman"/>
        </w:rPr>
        <w:t xml:space="preserve"> </w:t>
      </w:r>
      <w:proofErr w:type="spellStart"/>
      <w:r w:rsidRPr="003F7E4E">
        <w:rPr>
          <w:rFonts w:ascii="Times New Roman" w:hAnsi="Times New Roman" w:cs="Times New Roman"/>
        </w:rPr>
        <w:t>responsibility</w:t>
      </w:r>
      <w:proofErr w:type="spellEnd"/>
      <w:r w:rsidRPr="003F7E4E">
        <w:rPr>
          <w:rFonts w:ascii="Times New Roman" w:hAnsi="Times New Roman" w:cs="Times New Roman"/>
        </w:rPr>
        <w:t>.</w:t>
      </w:r>
    </w:p>
    <w:p w14:paraId="7BEB72FD" w14:textId="77777777" w:rsidR="003F7E4E" w:rsidRPr="003F7E4E" w:rsidRDefault="003F7E4E" w:rsidP="003F7E4E">
      <w:pPr>
        <w:numPr>
          <w:ilvl w:val="0"/>
          <w:numId w:val="5"/>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Environmental assessment, licensing, and oversight.</w:t>
      </w:r>
    </w:p>
    <w:p w14:paraId="12A74C06" w14:textId="77777777" w:rsidR="003F7E4E" w:rsidRPr="003F7E4E" w:rsidRDefault="003F7E4E" w:rsidP="003F7E4E">
      <w:pPr>
        <w:numPr>
          <w:ilvl w:val="0"/>
          <w:numId w:val="5"/>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Standards for waste recycling, utilization, and disposal.</w:t>
      </w:r>
    </w:p>
    <w:p w14:paraId="371C3C40" w14:textId="77777777" w:rsidR="003F7E4E" w:rsidRPr="003F7E4E" w:rsidRDefault="003F7E4E" w:rsidP="003F7E4E">
      <w:pPr>
        <w:spacing w:after="0" w:line="240" w:lineRule="auto"/>
        <w:ind w:firstLine="567"/>
        <w:jc w:val="both"/>
        <w:rPr>
          <w:rFonts w:ascii="Times New Roman" w:hAnsi="Times New Roman" w:cs="Times New Roman"/>
          <w:lang w:val="en-US"/>
        </w:rPr>
      </w:pPr>
      <w:r w:rsidRPr="003F7E4E">
        <w:rPr>
          <w:rFonts w:ascii="Times New Roman" w:hAnsi="Times New Roman" w:cs="Times New Roman"/>
          <w:lang w:val="en-US"/>
        </w:rPr>
        <w:lastRenderedPageBreak/>
        <w:t>V. Tax and Financial Law</w:t>
      </w:r>
    </w:p>
    <w:p w14:paraId="51403452" w14:textId="77777777" w:rsidR="003F7E4E" w:rsidRPr="003F7E4E" w:rsidRDefault="003F7E4E" w:rsidP="003F7E4E">
      <w:pPr>
        <w:numPr>
          <w:ilvl w:val="0"/>
          <w:numId w:val="6"/>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Environmental payments and taxation in waste management.</w:t>
      </w:r>
    </w:p>
    <w:p w14:paraId="27241C29" w14:textId="77777777" w:rsidR="003F7E4E" w:rsidRPr="003F7E4E" w:rsidRDefault="003F7E4E" w:rsidP="003F7E4E">
      <w:pPr>
        <w:numPr>
          <w:ilvl w:val="0"/>
          <w:numId w:val="6"/>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State incentives, subsidies, and tax preferences.</w:t>
      </w:r>
    </w:p>
    <w:p w14:paraId="2F5919BA" w14:textId="77777777" w:rsidR="003F7E4E" w:rsidRPr="003F7E4E" w:rsidRDefault="003F7E4E" w:rsidP="003F7E4E">
      <w:pPr>
        <w:numPr>
          <w:ilvl w:val="0"/>
          <w:numId w:val="6"/>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Impact of tax regulation on sustainable development and ESG.</w:t>
      </w:r>
    </w:p>
    <w:p w14:paraId="083CBD54" w14:textId="77777777" w:rsidR="003F7E4E" w:rsidRPr="003F7E4E" w:rsidRDefault="003F7E4E" w:rsidP="003F7E4E">
      <w:pPr>
        <w:spacing w:after="0" w:line="240" w:lineRule="auto"/>
        <w:ind w:firstLine="567"/>
        <w:jc w:val="both"/>
        <w:rPr>
          <w:rFonts w:ascii="Times New Roman" w:hAnsi="Times New Roman" w:cs="Times New Roman"/>
          <w:lang w:val="en-US"/>
        </w:rPr>
      </w:pPr>
      <w:r w:rsidRPr="003F7E4E">
        <w:rPr>
          <w:rFonts w:ascii="Times New Roman" w:hAnsi="Times New Roman" w:cs="Times New Roman"/>
          <w:lang w:val="en-US"/>
        </w:rPr>
        <w:t>VI. Intersectoral and International Legal Aspects</w:t>
      </w:r>
    </w:p>
    <w:p w14:paraId="1D38014E" w14:textId="77777777" w:rsidR="003F7E4E" w:rsidRPr="003F7E4E" w:rsidRDefault="003F7E4E" w:rsidP="003F7E4E">
      <w:pPr>
        <w:numPr>
          <w:ilvl w:val="0"/>
          <w:numId w:val="7"/>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Harmonization with international environmental law.</w:t>
      </w:r>
    </w:p>
    <w:p w14:paraId="0896D33F" w14:textId="77777777" w:rsidR="003F7E4E" w:rsidRPr="003F7E4E" w:rsidRDefault="003F7E4E" w:rsidP="003F7E4E">
      <w:pPr>
        <w:numPr>
          <w:ilvl w:val="0"/>
          <w:numId w:val="7"/>
        </w:numPr>
        <w:tabs>
          <w:tab w:val="clear" w:pos="720"/>
          <w:tab w:val="num" w:pos="1134"/>
        </w:tabs>
        <w:spacing w:after="0" w:line="240" w:lineRule="auto"/>
        <w:ind w:left="0" w:firstLine="567"/>
        <w:jc w:val="both"/>
        <w:rPr>
          <w:rFonts w:ascii="Times New Roman" w:hAnsi="Times New Roman" w:cs="Times New Roman"/>
        </w:rPr>
      </w:pPr>
      <w:proofErr w:type="spellStart"/>
      <w:r w:rsidRPr="003F7E4E">
        <w:rPr>
          <w:rFonts w:ascii="Times New Roman" w:hAnsi="Times New Roman" w:cs="Times New Roman"/>
        </w:rPr>
        <w:t>Digitalization</w:t>
      </w:r>
      <w:proofErr w:type="spellEnd"/>
      <w:r w:rsidRPr="003F7E4E">
        <w:rPr>
          <w:rFonts w:ascii="Times New Roman" w:hAnsi="Times New Roman" w:cs="Times New Roman"/>
        </w:rPr>
        <w:t xml:space="preserve"> </w:t>
      </w:r>
      <w:proofErr w:type="spellStart"/>
      <w:r w:rsidRPr="003F7E4E">
        <w:rPr>
          <w:rFonts w:ascii="Times New Roman" w:hAnsi="Times New Roman" w:cs="Times New Roman"/>
        </w:rPr>
        <w:t>of</w:t>
      </w:r>
      <w:proofErr w:type="spellEnd"/>
      <w:r w:rsidRPr="003F7E4E">
        <w:rPr>
          <w:rFonts w:ascii="Times New Roman" w:hAnsi="Times New Roman" w:cs="Times New Roman"/>
        </w:rPr>
        <w:t xml:space="preserve"> </w:t>
      </w:r>
      <w:proofErr w:type="spellStart"/>
      <w:r w:rsidRPr="003F7E4E">
        <w:rPr>
          <w:rFonts w:ascii="Times New Roman" w:hAnsi="Times New Roman" w:cs="Times New Roman"/>
        </w:rPr>
        <w:t>waste</w:t>
      </w:r>
      <w:proofErr w:type="spellEnd"/>
      <w:r w:rsidRPr="003F7E4E">
        <w:rPr>
          <w:rFonts w:ascii="Times New Roman" w:hAnsi="Times New Roman" w:cs="Times New Roman"/>
        </w:rPr>
        <w:t xml:space="preserve"> </w:t>
      </w:r>
      <w:proofErr w:type="spellStart"/>
      <w:r w:rsidRPr="003F7E4E">
        <w:rPr>
          <w:rFonts w:ascii="Times New Roman" w:hAnsi="Times New Roman" w:cs="Times New Roman"/>
        </w:rPr>
        <w:t>management</w:t>
      </w:r>
      <w:proofErr w:type="spellEnd"/>
      <w:r w:rsidRPr="003F7E4E">
        <w:rPr>
          <w:rFonts w:ascii="Times New Roman" w:hAnsi="Times New Roman" w:cs="Times New Roman"/>
        </w:rPr>
        <w:t>.</w:t>
      </w:r>
    </w:p>
    <w:p w14:paraId="1D32DD6C" w14:textId="77777777" w:rsidR="003F7E4E" w:rsidRPr="003F7E4E" w:rsidRDefault="003F7E4E" w:rsidP="003F7E4E">
      <w:pPr>
        <w:numPr>
          <w:ilvl w:val="0"/>
          <w:numId w:val="7"/>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Public participation and judicial practice.</w:t>
      </w:r>
    </w:p>
    <w:p w14:paraId="4365414A" w14:textId="77777777" w:rsidR="003F7E4E" w:rsidRPr="003F7E4E" w:rsidRDefault="003F7E4E" w:rsidP="003F7E4E">
      <w:pPr>
        <w:numPr>
          <w:ilvl w:val="0"/>
          <w:numId w:val="7"/>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Models of sustainable waste management systems.</w:t>
      </w:r>
    </w:p>
    <w:p w14:paraId="1E86918C" w14:textId="77777777" w:rsidR="003F7E4E" w:rsidRPr="003F7E4E" w:rsidRDefault="003F7E4E" w:rsidP="003F7E4E">
      <w:pPr>
        <w:spacing w:after="0" w:line="240" w:lineRule="auto"/>
        <w:ind w:firstLine="567"/>
        <w:jc w:val="both"/>
        <w:rPr>
          <w:rFonts w:ascii="Times New Roman" w:hAnsi="Times New Roman" w:cs="Times New Roman"/>
        </w:rPr>
      </w:pPr>
      <w:r w:rsidRPr="003F7E4E">
        <w:rPr>
          <w:rFonts w:ascii="Times New Roman" w:hAnsi="Times New Roman" w:cs="Times New Roman"/>
        </w:rPr>
        <w:t xml:space="preserve">VII. </w:t>
      </w:r>
      <w:proofErr w:type="spellStart"/>
      <w:r w:rsidRPr="003F7E4E">
        <w:rPr>
          <w:rFonts w:ascii="Times New Roman" w:hAnsi="Times New Roman" w:cs="Times New Roman"/>
        </w:rPr>
        <w:t>Related</w:t>
      </w:r>
      <w:proofErr w:type="spellEnd"/>
      <w:r w:rsidRPr="003F7E4E">
        <w:rPr>
          <w:rFonts w:ascii="Times New Roman" w:hAnsi="Times New Roman" w:cs="Times New Roman"/>
        </w:rPr>
        <w:t xml:space="preserve"> </w:t>
      </w:r>
      <w:proofErr w:type="spellStart"/>
      <w:r w:rsidRPr="003F7E4E">
        <w:rPr>
          <w:rFonts w:ascii="Times New Roman" w:hAnsi="Times New Roman" w:cs="Times New Roman"/>
        </w:rPr>
        <w:t>Topics</w:t>
      </w:r>
      <w:proofErr w:type="spellEnd"/>
    </w:p>
    <w:p w14:paraId="2B8A5D49" w14:textId="77777777" w:rsidR="003F7E4E" w:rsidRPr="003F7E4E" w:rsidRDefault="003F7E4E" w:rsidP="003F7E4E">
      <w:pPr>
        <w:numPr>
          <w:ilvl w:val="0"/>
          <w:numId w:val="8"/>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Eco-technologies and legal incentives.</w:t>
      </w:r>
    </w:p>
    <w:p w14:paraId="7629808C" w14:textId="77777777" w:rsidR="003F7E4E" w:rsidRPr="003F7E4E" w:rsidRDefault="003F7E4E" w:rsidP="003F7E4E">
      <w:pPr>
        <w:numPr>
          <w:ilvl w:val="0"/>
          <w:numId w:val="8"/>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Environmental education and social partnership.</w:t>
      </w:r>
    </w:p>
    <w:p w14:paraId="3135828E" w14:textId="77777777" w:rsidR="003F7E4E" w:rsidRPr="003F7E4E" w:rsidRDefault="003F7E4E" w:rsidP="003F7E4E">
      <w:pPr>
        <w:numPr>
          <w:ilvl w:val="0"/>
          <w:numId w:val="8"/>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Digital technologies and sustainable development strategies.</w:t>
      </w:r>
    </w:p>
    <w:p w14:paraId="6CDE59A0" w14:textId="77777777" w:rsidR="003F7E4E" w:rsidRPr="003F7E4E" w:rsidRDefault="003F7E4E" w:rsidP="003F7E4E">
      <w:pPr>
        <w:numPr>
          <w:ilvl w:val="0"/>
          <w:numId w:val="8"/>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International cooperation and circular economy.</w:t>
      </w:r>
    </w:p>
    <w:p w14:paraId="29213960" w14:textId="77777777" w:rsidR="003F7E4E" w:rsidRPr="003F7E4E" w:rsidRDefault="003F7E4E" w:rsidP="003F7E4E">
      <w:pPr>
        <w:numPr>
          <w:ilvl w:val="0"/>
          <w:numId w:val="8"/>
        </w:numPr>
        <w:tabs>
          <w:tab w:val="clear" w:pos="720"/>
          <w:tab w:val="num" w:pos="1134"/>
        </w:tabs>
        <w:spacing w:after="0" w:line="240" w:lineRule="auto"/>
        <w:ind w:left="0" w:firstLine="567"/>
        <w:jc w:val="both"/>
        <w:rPr>
          <w:rFonts w:ascii="Times New Roman" w:hAnsi="Times New Roman" w:cs="Times New Roman"/>
          <w:lang w:val="en-US"/>
        </w:rPr>
      </w:pPr>
      <w:r w:rsidRPr="003F7E4E">
        <w:rPr>
          <w:rFonts w:ascii="Times New Roman" w:hAnsi="Times New Roman" w:cs="Times New Roman"/>
          <w:lang w:val="en-US"/>
        </w:rPr>
        <w:t>Rights of vulnerable groups, the role of NGOs, and landfill elimination.</w:t>
      </w:r>
    </w:p>
    <w:p w14:paraId="60C330DF" w14:textId="2C2C0A97" w:rsidR="003F7E4E" w:rsidRPr="003F7E4E" w:rsidRDefault="003F7E4E" w:rsidP="00C8449D">
      <w:pPr>
        <w:pStyle w:val="ac"/>
        <w:spacing w:before="0" w:beforeAutospacing="0" w:after="0" w:afterAutospacing="0"/>
        <w:ind w:left="567"/>
        <w:rPr>
          <w:lang w:val="en-US"/>
        </w:rPr>
      </w:pPr>
      <w:r w:rsidRPr="003F7E4E">
        <w:rPr>
          <w:rStyle w:val="ad"/>
          <w:rFonts w:eastAsiaTheme="majorEastAsia"/>
          <w:lang w:val="en-US"/>
        </w:rPr>
        <w:t>Date of the Conference:</w:t>
      </w:r>
      <w:r w:rsidRPr="003F7E4E">
        <w:rPr>
          <w:lang w:val="en-US"/>
        </w:rPr>
        <w:br/>
      </w:r>
      <w:r w:rsidRPr="003F7E4E">
        <w:rPr>
          <w:rStyle w:val="ad"/>
          <w:rFonts w:eastAsiaTheme="majorEastAsia"/>
          <w:b w:val="0"/>
          <w:bCs w:val="0"/>
          <w:lang w:val="en-US"/>
        </w:rPr>
        <w:t>25 September 2025</w:t>
      </w:r>
      <w:r w:rsidRPr="003F7E4E">
        <w:rPr>
          <w:b/>
          <w:bCs/>
          <w:lang w:val="en-US"/>
        </w:rPr>
        <w:t>,</w:t>
      </w:r>
      <w:r w:rsidRPr="003F7E4E">
        <w:rPr>
          <w:lang w:val="en-US"/>
        </w:rPr>
        <w:t xml:space="preserve"> 10:00 </w:t>
      </w:r>
      <w:r>
        <w:rPr>
          <w:lang w:val="en-US"/>
        </w:rPr>
        <w:t xml:space="preserve">a.m. </w:t>
      </w:r>
      <w:r w:rsidRPr="003F7E4E">
        <w:rPr>
          <w:lang w:val="en-US"/>
        </w:rPr>
        <w:t>(Astana time)</w:t>
      </w:r>
    </w:p>
    <w:p w14:paraId="3B36BF44" w14:textId="77777777" w:rsidR="003F7E4E" w:rsidRPr="003F7E4E" w:rsidRDefault="003F7E4E" w:rsidP="00C8449D">
      <w:pPr>
        <w:pStyle w:val="ac"/>
        <w:spacing w:before="0" w:beforeAutospacing="0" w:after="0" w:afterAutospacing="0"/>
        <w:ind w:left="567"/>
        <w:rPr>
          <w:b/>
          <w:bCs/>
          <w:lang w:val="en-US"/>
        </w:rPr>
      </w:pPr>
      <w:r w:rsidRPr="003F7E4E">
        <w:rPr>
          <w:rStyle w:val="ad"/>
          <w:rFonts w:eastAsiaTheme="majorEastAsia"/>
          <w:lang w:val="en-US"/>
        </w:rPr>
        <w:t>Venue of the Conference:</w:t>
      </w:r>
      <w:r w:rsidRPr="003F7E4E">
        <w:rPr>
          <w:lang w:val="en-US"/>
        </w:rPr>
        <w:br/>
      </w:r>
      <w:r w:rsidRPr="003F7E4E">
        <w:rPr>
          <w:rStyle w:val="ad"/>
          <w:rFonts w:eastAsiaTheme="majorEastAsia"/>
          <w:b w:val="0"/>
          <w:bCs w:val="0"/>
          <w:lang w:val="en-US"/>
        </w:rPr>
        <w:t xml:space="preserve">Republic of Kazakhstan, Karaganda, </w:t>
      </w:r>
      <w:proofErr w:type="spellStart"/>
      <w:r w:rsidRPr="003F7E4E">
        <w:rPr>
          <w:rStyle w:val="ad"/>
          <w:rFonts w:eastAsiaTheme="majorEastAsia"/>
          <w:b w:val="0"/>
          <w:bCs w:val="0"/>
          <w:lang w:val="en-US"/>
        </w:rPr>
        <w:t>Universitetskaya</w:t>
      </w:r>
      <w:proofErr w:type="spellEnd"/>
      <w:r w:rsidRPr="003F7E4E">
        <w:rPr>
          <w:rStyle w:val="ad"/>
          <w:rFonts w:eastAsiaTheme="majorEastAsia"/>
          <w:b w:val="0"/>
          <w:bCs w:val="0"/>
          <w:lang w:val="en-US"/>
        </w:rPr>
        <w:t xml:space="preserve"> St. 28,</w:t>
      </w:r>
      <w:r w:rsidRPr="003F7E4E">
        <w:rPr>
          <w:b/>
          <w:bCs/>
          <w:lang w:val="en-US"/>
        </w:rPr>
        <w:br/>
      </w:r>
      <w:r w:rsidRPr="003F7E4E">
        <w:rPr>
          <w:rStyle w:val="ad"/>
          <w:rFonts w:eastAsiaTheme="majorEastAsia"/>
          <w:b w:val="0"/>
          <w:bCs w:val="0"/>
          <w:lang w:val="en-US"/>
        </w:rPr>
        <w:t>Building No. 1, Academic Council Hall</w:t>
      </w:r>
    </w:p>
    <w:p w14:paraId="3E546EE4" w14:textId="77777777" w:rsidR="003F7E4E" w:rsidRPr="003F7E4E" w:rsidRDefault="003F7E4E" w:rsidP="003F7E4E">
      <w:pPr>
        <w:pStyle w:val="ac"/>
        <w:spacing w:before="0" w:beforeAutospacing="0" w:after="0" w:afterAutospacing="0"/>
        <w:ind w:firstLine="567"/>
        <w:rPr>
          <w:lang w:val="en-US"/>
        </w:rPr>
      </w:pPr>
      <w:r w:rsidRPr="003F7E4E">
        <w:rPr>
          <w:rStyle w:val="ad"/>
          <w:rFonts w:eastAsiaTheme="majorEastAsia"/>
          <w:lang w:val="en-US"/>
        </w:rPr>
        <w:t>Working languages of the conference:</w:t>
      </w:r>
      <w:r w:rsidRPr="003F7E4E">
        <w:rPr>
          <w:lang w:val="en-US"/>
        </w:rPr>
        <w:t xml:space="preserve"> Kazakh, Russian, English</w:t>
      </w:r>
    </w:p>
    <w:p w14:paraId="482EFCD7" w14:textId="43D597AD" w:rsidR="003F7E4E" w:rsidRPr="003F7E4E" w:rsidRDefault="003F7E4E" w:rsidP="00C8449D">
      <w:pPr>
        <w:pStyle w:val="ac"/>
        <w:spacing w:before="0" w:beforeAutospacing="0" w:after="0" w:afterAutospacing="0"/>
        <w:ind w:firstLine="567"/>
        <w:rPr>
          <w:lang w:val="en-US"/>
        </w:rPr>
      </w:pPr>
      <w:r w:rsidRPr="003F7E4E">
        <w:rPr>
          <w:rStyle w:val="ad"/>
          <w:rFonts w:eastAsiaTheme="majorEastAsia"/>
          <w:lang w:val="en-US"/>
        </w:rPr>
        <w:t>Format:</w:t>
      </w:r>
      <w:r w:rsidR="00C8449D" w:rsidRPr="00C8449D">
        <w:rPr>
          <w:rStyle w:val="ad"/>
          <w:rFonts w:eastAsiaTheme="majorEastAsia"/>
          <w:lang w:val="en-US"/>
        </w:rPr>
        <w:t xml:space="preserve"> </w:t>
      </w:r>
      <w:r w:rsidRPr="003F7E4E">
        <w:rPr>
          <w:lang w:val="en-US"/>
        </w:rPr>
        <w:t xml:space="preserve">Offline and online (online participation via Zoom platform; the access link and code will be sent to participants after </w:t>
      </w:r>
      <w:r w:rsidRPr="003F7E4E">
        <w:rPr>
          <w:rStyle w:val="ad"/>
          <w:rFonts w:eastAsiaTheme="majorEastAsia"/>
          <w:b w:val="0"/>
          <w:bCs w:val="0"/>
          <w:lang w:val="en-US"/>
        </w:rPr>
        <w:t>24 September 2025</w:t>
      </w:r>
      <w:r w:rsidRPr="003F7E4E">
        <w:rPr>
          <w:lang w:val="en-US"/>
        </w:rPr>
        <w:t>)</w:t>
      </w:r>
    </w:p>
    <w:p w14:paraId="4DA6A00B" w14:textId="77777777" w:rsidR="003F7E4E" w:rsidRPr="00124C24" w:rsidRDefault="003F7E4E" w:rsidP="00C8449D">
      <w:pPr>
        <w:pStyle w:val="ac"/>
        <w:spacing w:before="0" w:beforeAutospacing="0" w:after="0" w:afterAutospacing="0"/>
        <w:ind w:firstLine="567"/>
        <w:rPr>
          <w:lang w:val="en-US"/>
        </w:rPr>
      </w:pPr>
      <w:r w:rsidRPr="00124C24">
        <w:rPr>
          <w:rStyle w:val="ad"/>
          <w:rFonts w:eastAsiaTheme="majorEastAsia"/>
          <w:lang w:val="en-US"/>
        </w:rPr>
        <w:t>Information for Participants:</w:t>
      </w:r>
    </w:p>
    <w:p w14:paraId="0C569AF8" w14:textId="77777777" w:rsidR="003F7E4E" w:rsidRPr="003F7E4E" w:rsidRDefault="003F7E4E" w:rsidP="00C8449D">
      <w:pPr>
        <w:pStyle w:val="ac"/>
        <w:spacing w:before="0" w:beforeAutospacing="0" w:after="0" w:afterAutospacing="0"/>
        <w:ind w:firstLine="567"/>
        <w:rPr>
          <w:lang w:val="en-US"/>
        </w:rPr>
      </w:pPr>
      <w:r w:rsidRPr="003F7E4E">
        <w:rPr>
          <w:rStyle w:val="ad"/>
          <w:rFonts w:eastAsiaTheme="majorEastAsia"/>
          <w:b w:val="0"/>
          <w:bCs w:val="0"/>
          <w:lang w:val="en-US"/>
        </w:rPr>
        <w:t xml:space="preserve">Publication of papers is </w:t>
      </w:r>
      <w:r w:rsidRPr="003F7E4E">
        <w:rPr>
          <w:rStyle w:val="ad"/>
          <w:rFonts w:eastAsiaTheme="majorEastAsia"/>
          <w:lang w:val="en-US"/>
        </w:rPr>
        <w:t>free of charge.</w:t>
      </w:r>
    </w:p>
    <w:p w14:paraId="7183CED1" w14:textId="50EC011E" w:rsidR="003F7E4E" w:rsidRPr="003F7E4E" w:rsidRDefault="003F7E4E" w:rsidP="003F7E4E">
      <w:pPr>
        <w:pStyle w:val="ac"/>
        <w:spacing w:before="0" w:beforeAutospacing="0" w:after="0" w:afterAutospacing="0"/>
        <w:ind w:firstLine="567"/>
        <w:rPr>
          <w:lang w:val="en-US"/>
        </w:rPr>
      </w:pPr>
      <w:r w:rsidRPr="003F7E4E">
        <w:rPr>
          <w:lang w:val="en-US"/>
        </w:rPr>
        <w:t xml:space="preserve">Applications for participation and full texts of papers must be submitted by </w:t>
      </w:r>
      <w:r w:rsidRPr="003F7E4E">
        <w:rPr>
          <w:rStyle w:val="ad"/>
          <w:rFonts w:eastAsiaTheme="majorEastAsia"/>
          <w:lang w:val="en-US"/>
        </w:rPr>
        <w:t>10 September 2025</w:t>
      </w:r>
      <w:r w:rsidRPr="003F7E4E">
        <w:rPr>
          <w:lang w:val="en-US"/>
        </w:rPr>
        <w:t xml:space="preserve"> via email: </w:t>
      </w:r>
      <w:r w:rsidRPr="003F7E4E">
        <w:rPr>
          <w:rStyle w:val="ad"/>
          <w:rFonts w:eastAsiaTheme="majorEastAsia"/>
          <w:lang w:val="en-US"/>
        </w:rPr>
        <w:t>project.tbo2025@gmail.com</w:t>
      </w:r>
    </w:p>
    <w:p w14:paraId="0170F71C" w14:textId="77777777" w:rsidR="00C8449D" w:rsidRPr="00124C24" w:rsidRDefault="00C8449D" w:rsidP="00C8449D">
      <w:pPr>
        <w:pStyle w:val="ac"/>
        <w:spacing w:before="0" w:beforeAutospacing="0" w:after="0" w:afterAutospacing="0"/>
        <w:ind w:firstLine="567"/>
        <w:rPr>
          <w:lang w:val="en-US"/>
        </w:rPr>
      </w:pPr>
      <w:r w:rsidRPr="00C8449D">
        <w:rPr>
          <w:lang w:val="en-US"/>
        </w:rPr>
        <w:t>Papers must be formatted as follows: 6 to 10 A4 pages in length; page settings: top margin – 2 cm, bottom margin – 2 cm, left margin – 3 cm, right margin – 1.5 cm; font – Times New Roman, font size – 14 pt; line spacing – single; paragraph indent – 0.8 cm; text must be justified; papers must not contain graphs, illustrations, or photographs; references should be formatted as standard text footnotes. In addition to the paper, an application form must be submitted (template attached to the information letter).</w:t>
      </w:r>
    </w:p>
    <w:p w14:paraId="5FADEE85" w14:textId="77777777" w:rsidR="00C8449D" w:rsidRPr="00124C24" w:rsidRDefault="003F7E4E" w:rsidP="00C8449D">
      <w:pPr>
        <w:pStyle w:val="ac"/>
        <w:spacing w:before="0" w:beforeAutospacing="0" w:after="0" w:afterAutospacing="0"/>
        <w:ind w:firstLine="567"/>
        <w:jc w:val="both"/>
        <w:rPr>
          <w:rStyle w:val="ad"/>
          <w:rFonts w:eastAsiaTheme="majorEastAsia"/>
          <w:b w:val="0"/>
          <w:bCs w:val="0"/>
          <w:lang w:val="en-US"/>
        </w:rPr>
      </w:pPr>
      <w:r w:rsidRPr="003F7E4E">
        <w:rPr>
          <w:rStyle w:val="ad"/>
          <w:rFonts w:eastAsiaTheme="majorEastAsia"/>
          <w:b w:val="0"/>
          <w:bCs w:val="0"/>
          <w:lang w:val="en-US"/>
        </w:rPr>
        <w:t>Conference proceedings will be compiled by direct copy-pasting.</w:t>
      </w:r>
      <w:r w:rsidR="00C8449D" w:rsidRPr="00C8449D">
        <w:rPr>
          <w:rStyle w:val="ad"/>
          <w:rFonts w:eastAsiaTheme="majorEastAsia"/>
          <w:b w:val="0"/>
          <w:bCs w:val="0"/>
          <w:lang w:val="en-US"/>
        </w:rPr>
        <w:t xml:space="preserve"> </w:t>
      </w:r>
      <w:r w:rsidRPr="003F7E4E">
        <w:rPr>
          <w:rStyle w:val="ad"/>
          <w:rFonts w:eastAsiaTheme="majorEastAsia"/>
          <w:b w:val="0"/>
          <w:bCs w:val="0"/>
          <w:lang w:val="en-US"/>
        </w:rPr>
        <w:t>Submitted papers will not be edited. Authors are fully responsible for the scientific content, writing style, and grammar.</w:t>
      </w:r>
    </w:p>
    <w:p w14:paraId="3AB45EBE" w14:textId="77777777" w:rsidR="00C8449D" w:rsidRPr="00C8449D" w:rsidRDefault="003F7E4E" w:rsidP="00C8449D">
      <w:pPr>
        <w:pStyle w:val="ac"/>
        <w:spacing w:before="0" w:beforeAutospacing="0" w:after="0" w:afterAutospacing="0"/>
        <w:ind w:firstLine="567"/>
        <w:jc w:val="both"/>
        <w:rPr>
          <w:rStyle w:val="ad"/>
          <w:rFonts w:eastAsiaTheme="majorEastAsia"/>
          <w:b w:val="0"/>
          <w:bCs w:val="0"/>
          <w:i/>
          <w:iCs/>
          <w:lang w:val="en-US"/>
        </w:rPr>
      </w:pPr>
      <w:r w:rsidRPr="00C8449D">
        <w:rPr>
          <w:rStyle w:val="ad"/>
          <w:rFonts w:eastAsiaTheme="majorEastAsia"/>
          <w:b w:val="0"/>
          <w:bCs w:val="0"/>
          <w:i/>
          <w:iCs/>
          <w:lang w:val="en-US"/>
        </w:rPr>
        <w:t>Minimum originality requirement: 60%.</w:t>
      </w:r>
    </w:p>
    <w:p w14:paraId="14B61910" w14:textId="77777777" w:rsidR="00C8449D" w:rsidRPr="00C8449D" w:rsidRDefault="003F7E4E" w:rsidP="00C8449D">
      <w:pPr>
        <w:pStyle w:val="ac"/>
        <w:spacing w:before="0" w:beforeAutospacing="0" w:after="0" w:afterAutospacing="0"/>
        <w:ind w:firstLine="567"/>
        <w:jc w:val="both"/>
        <w:rPr>
          <w:lang w:val="en-US"/>
        </w:rPr>
      </w:pPr>
      <w:r w:rsidRPr="003F7E4E">
        <w:rPr>
          <w:lang w:val="en-US"/>
        </w:rPr>
        <w:t xml:space="preserve">The editorial board reserves the right to </w:t>
      </w:r>
      <w:r w:rsidRPr="003F7E4E">
        <w:rPr>
          <w:rStyle w:val="ad"/>
          <w:rFonts w:eastAsiaTheme="majorEastAsia"/>
          <w:b w:val="0"/>
          <w:bCs w:val="0"/>
          <w:lang w:val="en-US"/>
        </w:rPr>
        <w:t>reject papers</w:t>
      </w:r>
      <w:r w:rsidRPr="003F7E4E">
        <w:rPr>
          <w:lang w:val="en-US"/>
        </w:rPr>
        <w:t xml:space="preserve"> that do not comply with the above requirements, fall outside the scope of the conference, or contain substantive deficiencies.</w:t>
      </w:r>
    </w:p>
    <w:p w14:paraId="0D57D85D" w14:textId="627ACC4A" w:rsidR="00C8449D" w:rsidRPr="00C8449D" w:rsidRDefault="00C8449D" w:rsidP="00C8449D">
      <w:pPr>
        <w:spacing w:after="0" w:line="240" w:lineRule="auto"/>
        <w:ind w:firstLine="567"/>
        <w:jc w:val="both"/>
        <w:rPr>
          <w:rFonts w:ascii="Times New Roman" w:hAnsi="Times New Roman" w:cs="Times New Roman"/>
          <w:lang w:val="en-US"/>
        </w:rPr>
      </w:pPr>
      <w:r w:rsidRPr="00C8449D">
        <w:rPr>
          <w:rFonts w:ascii="Times New Roman" w:hAnsi="Times New Roman" w:cs="Times New Roman"/>
          <w:lang w:val="en-US"/>
        </w:rPr>
        <w:t xml:space="preserve">The conference proceedings will be </w:t>
      </w:r>
      <w:r w:rsidRPr="00C8449D">
        <w:rPr>
          <w:rFonts w:ascii="Times New Roman" w:hAnsi="Times New Roman" w:cs="Times New Roman"/>
          <w:b/>
          <w:bCs/>
          <w:lang w:val="en-US"/>
        </w:rPr>
        <w:t>published in a collected volume</w:t>
      </w:r>
      <w:r w:rsidRPr="00C8449D">
        <w:rPr>
          <w:rFonts w:ascii="Times New Roman" w:hAnsi="Times New Roman" w:cs="Times New Roman"/>
          <w:lang w:val="en-US"/>
        </w:rPr>
        <w:t xml:space="preserve"> after the event.</w:t>
      </w:r>
    </w:p>
    <w:p w14:paraId="37F0E100" w14:textId="77777777" w:rsidR="00C8449D" w:rsidRPr="00124C24" w:rsidRDefault="00C8449D" w:rsidP="00C8449D">
      <w:pPr>
        <w:spacing w:after="0" w:line="240" w:lineRule="auto"/>
        <w:ind w:firstLine="567"/>
        <w:jc w:val="right"/>
        <w:rPr>
          <w:rFonts w:ascii="Times New Roman" w:hAnsi="Times New Roman" w:cs="Times New Roman"/>
          <w:lang w:val="en-US"/>
        </w:rPr>
      </w:pPr>
    </w:p>
    <w:p w14:paraId="769F3B0B" w14:textId="77777777" w:rsidR="00C8449D" w:rsidRPr="00124C24" w:rsidRDefault="00C8449D" w:rsidP="00C8449D">
      <w:pPr>
        <w:spacing w:after="0" w:line="240" w:lineRule="auto"/>
        <w:ind w:firstLine="567"/>
        <w:jc w:val="right"/>
        <w:rPr>
          <w:rFonts w:ascii="Times New Roman" w:hAnsi="Times New Roman" w:cs="Times New Roman"/>
          <w:i/>
          <w:iCs/>
          <w:lang w:val="en-US"/>
        </w:rPr>
      </w:pPr>
    </w:p>
    <w:p w14:paraId="7E14188F" w14:textId="2EF48BAD" w:rsidR="00C8449D" w:rsidRPr="00C8449D" w:rsidRDefault="00C8449D" w:rsidP="00C8449D">
      <w:pPr>
        <w:spacing w:after="0" w:line="240" w:lineRule="auto"/>
        <w:ind w:firstLine="567"/>
        <w:jc w:val="right"/>
        <w:rPr>
          <w:rFonts w:ascii="Times New Roman" w:hAnsi="Times New Roman" w:cs="Times New Roman"/>
          <w:i/>
          <w:iCs/>
          <w:lang w:val="en-US"/>
        </w:rPr>
      </w:pPr>
      <w:r w:rsidRPr="00C8449D">
        <w:rPr>
          <w:rFonts w:ascii="Times New Roman" w:hAnsi="Times New Roman" w:cs="Times New Roman"/>
          <w:i/>
          <w:iCs/>
          <w:lang w:val="en-US"/>
        </w:rPr>
        <w:t>Sincerely,</w:t>
      </w:r>
      <w:r w:rsidRPr="00C8449D">
        <w:rPr>
          <w:rFonts w:ascii="Times New Roman" w:hAnsi="Times New Roman" w:cs="Times New Roman"/>
          <w:i/>
          <w:iCs/>
          <w:lang w:val="en-US"/>
        </w:rPr>
        <w:br/>
        <w:t>The Conference Organizing Committee</w:t>
      </w:r>
    </w:p>
    <w:p w14:paraId="0C37AB56" w14:textId="77777777" w:rsidR="005349E9" w:rsidRPr="003F7E4E" w:rsidRDefault="005349E9" w:rsidP="003F7E4E">
      <w:pPr>
        <w:spacing w:after="0" w:line="240" w:lineRule="auto"/>
        <w:ind w:left="567"/>
        <w:jc w:val="both"/>
        <w:rPr>
          <w:lang w:val="en-US"/>
        </w:rPr>
      </w:pPr>
    </w:p>
    <w:sectPr w:rsidR="005349E9" w:rsidRPr="003F7E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17114"/>
    <w:multiLevelType w:val="multilevel"/>
    <w:tmpl w:val="32CAD1F6"/>
    <w:lvl w:ilvl="0">
      <w:start w:val="2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684B85"/>
    <w:multiLevelType w:val="multilevel"/>
    <w:tmpl w:val="D58884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151FCA"/>
    <w:multiLevelType w:val="multilevel"/>
    <w:tmpl w:val="035E6A24"/>
    <w:lvl w:ilvl="0">
      <w:start w:val="2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CC2FFF"/>
    <w:multiLevelType w:val="multilevel"/>
    <w:tmpl w:val="CE40E80A"/>
    <w:lvl w:ilvl="0">
      <w:start w:val="2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CC4A8D"/>
    <w:multiLevelType w:val="multilevel"/>
    <w:tmpl w:val="DE74A036"/>
    <w:lvl w:ilvl="0">
      <w:start w:val="2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DA7417"/>
    <w:multiLevelType w:val="multilevel"/>
    <w:tmpl w:val="18806CD6"/>
    <w:lvl w:ilvl="0">
      <w:start w:val="2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0E23F1"/>
    <w:multiLevelType w:val="multilevel"/>
    <w:tmpl w:val="72244D2C"/>
    <w:lvl w:ilvl="0">
      <w:start w:val="2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92746A"/>
    <w:multiLevelType w:val="multilevel"/>
    <w:tmpl w:val="CE40E80A"/>
    <w:lvl w:ilvl="0">
      <w:start w:val="25"/>
      <w:numFmt w:val="bullet"/>
      <w:lvlText w:val="-"/>
      <w:lvlJc w:val="left"/>
      <w:pPr>
        <w:tabs>
          <w:tab w:val="num" w:pos="720"/>
        </w:tabs>
        <w:ind w:left="720" w:hanging="360"/>
      </w:pPr>
      <w:rPr>
        <w:rFonts w:ascii="Times New Roman" w:eastAsia="Calibri"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7B32E0"/>
    <w:multiLevelType w:val="multilevel"/>
    <w:tmpl w:val="32266136"/>
    <w:lvl w:ilvl="0">
      <w:start w:val="25"/>
      <w:numFmt w:val="bullet"/>
      <w:lvlText w:val="-"/>
      <w:lvlJc w:val="left"/>
      <w:pPr>
        <w:tabs>
          <w:tab w:val="num" w:pos="720"/>
        </w:tabs>
        <w:ind w:left="720" w:hanging="360"/>
      </w:pPr>
      <w:rPr>
        <w:rFonts w:ascii="Times New Roman" w:eastAsia="Calibri" w:hAnsi="Times New Roman" w:cs="Times New Roman" w:hint="default"/>
        <w:sz w:val="20"/>
        <w:lang w:val="ru-RU"/>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EA462C"/>
    <w:multiLevelType w:val="multilevel"/>
    <w:tmpl w:val="32FC6524"/>
    <w:lvl w:ilvl="0">
      <w:start w:val="2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42970275">
    <w:abstractNumId w:val="2"/>
  </w:num>
  <w:num w:numId="2" w16cid:durableId="843016765">
    <w:abstractNumId w:val="5"/>
  </w:num>
  <w:num w:numId="3" w16cid:durableId="585267731">
    <w:abstractNumId w:val="9"/>
  </w:num>
  <w:num w:numId="4" w16cid:durableId="1361322201">
    <w:abstractNumId w:val="8"/>
  </w:num>
  <w:num w:numId="5" w16cid:durableId="1647777207">
    <w:abstractNumId w:val="6"/>
  </w:num>
  <w:num w:numId="6" w16cid:durableId="1211766441">
    <w:abstractNumId w:val="4"/>
  </w:num>
  <w:num w:numId="7" w16cid:durableId="1064838254">
    <w:abstractNumId w:val="0"/>
  </w:num>
  <w:num w:numId="8" w16cid:durableId="1183207424">
    <w:abstractNumId w:val="3"/>
  </w:num>
  <w:num w:numId="9" w16cid:durableId="302390704">
    <w:abstractNumId w:val="1"/>
  </w:num>
  <w:num w:numId="10" w16cid:durableId="15692680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E4E"/>
    <w:rsid w:val="00020AE4"/>
    <w:rsid w:val="00124C24"/>
    <w:rsid w:val="003F7E4E"/>
    <w:rsid w:val="005349E9"/>
    <w:rsid w:val="00906EFE"/>
    <w:rsid w:val="00A154AE"/>
    <w:rsid w:val="00C84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85828"/>
  <w15:chartTrackingRefBased/>
  <w15:docId w15:val="{176B1D28-F07E-4C5A-8025-39DD695CA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F7E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3F7E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3F7E4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3F7E4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F7E4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F7E4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F7E4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F7E4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F7E4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7E4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3F7E4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3F7E4E"/>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3F7E4E"/>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3F7E4E"/>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3F7E4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F7E4E"/>
    <w:rPr>
      <w:rFonts w:eastAsiaTheme="majorEastAsia" w:cstheme="majorBidi"/>
      <w:color w:val="595959" w:themeColor="text1" w:themeTint="A6"/>
    </w:rPr>
  </w:style>
  <w:style w:type="character" w:customStyle="1" w:styleId="80">
    <w:name w:val="Заголовок 8 Знак"/>
    <w:basedOn w:val="a0"/>
    <w:link w:val="8"/>
    <w:uiPriority w:val="9"/>
    <w:semiHidden/>
    <w:rsid w:val="003F7E4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F7E4E"/>
    <w:rPr>
      <w:rFonts w:eastAsiaTheme="majorEastAsia" w:cstheme="majorBidi"/>
      <w:color w:val="272727" w:themeColor="text1" w:themeTint="D8"/>
    </w:rPr>
  </w:style>
  <w:style w:type="paragraph" w:styleId="a3">
    <w:name w:val="Title"/>
    <w:basedOn w:val="a"/>
    <w:next w:val="a"/>
    <w:link w:val="a4"/>
    <w:uiPriority w:val="10"/>
    <w:qFormat/>
    <w:rsid w:val="003F7E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F7E4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7E4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3F7E4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F7E4E"/>
    <w:pPr>
      <w:spacing w:before="160"/>
      <w:jc w:val="center"/>
    </w:pPr>
    <w:rPr>
      <w:i/>
      <w:iCs/>
      <w:color w:val="404040" w:themeColor="text1" w:themeTint="BF"/>
    </w:rPr>
  </w:style>
  <w:style w:type="character" w:customStyle="1" w:styleId="22">
    <w:name w:val="Цитата 2 Знак"/>
    <w:basedOn w:val="a0"/>
    <w:link w:val="21"/>
    <w:uiPriority w:val="29"/>
    <w:rsid w:val="003F7E4E"/>
    <w:rPr>
      <w:i/>
      <w:iCs/>
      <w:color w:val="404040" w:themeColor="text1" w:themeTint="BF"/>
    </w:rPr>
  </w:style>
  <w:style w:type="paragraph" w:styleId="a7">
    <w:name w:val="List Paragraph"/>
    <w:basedOn w:val="a"/>
    <w:uiPriority w:val="34"/>
    <w:qFormat/>
    <w:rsid w:val="003F7E4E"/>
    <w:pPr>
      <w:ind w:left="720"/>
      <w:contextualSpacing/>
    </w:pPr>
  </w:style>
  <w:style w:type="character" w:styleId="a8">
    <w:name w:val="Intense Emphasis"/>
    <w:basedOn w:val="a0"/>
    <w:uiPriority w:val="21"/>
    <w:qFormat/>
    <w:rsid w:val="003F7E4E"/>
    <w:rPr>
      <w:i/>
      <w:iCs/>
      <w:color w:val="0F4761" w:themeColor="accent1" w:themeShade="BF"/>
    </w:rPr>
  </w:style>
  <w:style w:type="paragraph" w:styleId="a9">
    <w:name w:val="Intense Quote"/>
    <w:basedOn w:val="a"/>
    <w:next w:val="a"/>
    <w:link w:val="aa"/>
    <w:uiPriority w:val="30"/>
    <w:qFormat/>
    <w:rsid w:val="003F7E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3F7E4E"/>
    <w:rPr>
      <w:i/>
      <w:iCs/>
      <w:color w:val="0F4761" w:themeColor="accent1" w:themeShade="BF"/>
    </w:rPr>
  </w:style>
  <w:style w:type="character" w:styleId="ab">
    <w:name w:val="Intense Reference"/>
    <w:basedOn w:val="a0"/>
    <w:uiPriority w:val="32"/>
    <w:qFormat/>
    <w:rsid w:val="003F7E4E"/>
    <w:rPr>
      <w:b/>
      <w:bCs/>
      <w:smallCaps/>
      <w:color w:val="0F4761" w:themeColor="accent1" w:themeShade="BF"/>
      <w:spacing w:val="5"/>
    </w:rPr>
  </w:style>
  <w:style w:type="paragraph" w:styleId="ac">
    <w:name w:val="Normal (Web)"/>
    <w:basedOn w:val="a"/>
    <w:uiPriority w:val="99"/>
    <w:semiHidden/>
    <w:unhideWhenUsed/>
    <w:rsid w:val="003F7E4E"/>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styleId="ad">
    <w:name w:val="Strong"/>
    <w:basedOn w:val="a0"/>
    <w:uiPriority w:val="22"/>
    <w:qFormat/>
    <w:rsid w:val="003F7E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293283">
      <w:bodyDiv w:val="1"/>
      <w:marLeft w:val="0"/>
      <w:marRight w:val="0"/>
      <w:marTop w:val="0"/>
      <w:marBottom w:val="0"/>
      <w:divBdr>
        <w:top w:val="none" w:sz="0" w:space="0" w:color="auto"/>
        <w:left w:val="none" w:sz="0" w:space="0" w:color="auto"/>
        <w:bottom w:val="none" w:sz="0" w:space="0" w:color="auto"/>
        <w:right w:val="none" w:sz="0" w:space="0" w:color="auto"/>
      </w:divBdr>
    </w:div>
    <w:div w:id="1695887788">
      <w:bodyDiv w:val="1"/>
      <w:marLeft w:val="0"/>
      <w:marRight w:val="0"/>
      <w:marTop w:val="0"/>
      <w:marBottom w:val="0"/>
      <w:divBdr>
        <w:top w:val="none" w:sz="0" w:space="0" w:color="auto"/>
        <w:left w:val="none" w:sz="0" w:space="0" w:color="auto"/>
        <w:bottom w:val="none" w:sz="0" w:space="0" w:color="auto"/>
        <w:right w:val="none" w:sz="0" w:space="0" w:color="auto"/>
      </w:divBdr>
    </w:div>
    <w:div w:id="1761679306">
      <w:bodyDiv w:val="1"/>
      <w:marLeft w:val="0"/>
      <w:marRight w:val="0"/>
      <w:marTop w:val="0"/>
      <w:marBottom w:val="0"/>
      <w:divBdr>
        <w:top w:val="none" w:sz="0" w:space="0" w:color="auto"/>
        <w:left w:val="none" w:sz="0" w:space="0" w:color="auto"/>
        <w:bottom w:val="none" w:sz="0" w:space="0" w:color="auto"/>
        <w:right w:val="none" w:sz="0" w:space="0" w:color="auto"/>
      </w:divBdr>
    </w:div>
    <w:div w:id="188921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831</Words>
  <Characters>4737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Matebook</dc:creator>
  <cp:keywords/>
  <dc:description/>
  <cp:lastModifiedBy>Matebook</cp:lastModifiedBy>
  <cp:revision>2</cp:revision>
  <dcterms:created xsi:type="dcterms:W3CDTF">2025-07-15T07:28:00Z</dcterms:created>
  <dcterms:modified xsi:type="dcterms:W3CDTF">2025-07-15T07:45:00Z</dcterms:modified>
</cp:coreProperties>
</file>